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13CF" w14:textId="13F878E7" w:rsidR="00F603ED" w:rsidRPr="003404A7" w:rsidRDefault="00F603ED" w:rsidP="00F603ED">
      <w:pPr>
        <w:jc w:val="center"/>
        <w:rPr>
          <w:lang w:val="en-US"/>
        </w:rPr>
      </w:pPr>
      <w:r w:rsidRPr="003404A7">
        <w:rPr>
          <w:noProof/>
          <w:lang w:eastAsia="pl-PL"/>
        </w:rPr>
        <w:drawing>
          <wp:inline distT="0" distB="0" distL="0" distR="0" wp14:anchorId="074CE1D7" wp14:editId="2B80A8A8">
            <wp:extent cx="259460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75" cy="8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F505" w14:textId="0041C661" w:rsidR="00F603ED" w:rsidRPr="003404A7" w:rsidRDefault="00F603ED" w:rsidP="00F603ED">
      <w:pPr>
        <w:spacing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b/>
          <w:bCs/>
          <w:lang w:val="en-US"/>
        </w:rPr>
        <w:t xml:space="preserve">    </w:t>
      </w:r>
      <w:r w:rsidRPr="003404A7">
        <w:rPr>
          <w:rFonts w:ascii="Century Gothic" w:hAnsi="Century Gothic"/>
          <w:b/>
          <w:bCs/>
          <w:lang w:val="en-US"/>
        </w:rPr>
        <w:t> </w:t>
      </w:r>
      <w:r w:rsidR="00071B73" w:rsidRPr="003404A7">
        <w:rPr>
          <w:rFonts w:ascii="Century Gothic" w:hAnsi="Century Gothic"/>
          <w:b/>
          <w:bCs/>
          <w:color w:val="323E4F" w:themeColor="text2" w:themeShade="BF"/>
          <w:sz w:val="20"/>
          <w:szCs w:val="20"/>
          <w:lang w:val="en-US"/>
        </w:rPr>
        <w:t>The State Water Holding Polish Waters</w:t>
      </w:r>
      <w:r w:rsidRPr="003404A7">
        <w:rPr>
          <w:rFonts w:ascii="Century Gothic" w:hAnsi="Century Gothic"/>
          <w:color w:val="323E4F" w:themeColor="text2" w:themeShade="BF"/>
          <w:sz w:val="20"/>
          <w:szCs w:val="20"/>
          <w:lang w:val="en-US"/>
        </w:rPr>
        <w:t xml:space="preserve"> 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is the main entity responsible for water management in Poland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. 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It comprises 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330 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Water Management Stations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, 50 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Catchment Management Boards, 11 Regional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 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Water Management Authorities, and the National Water Management Authority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.</w:t>
      </w:r>
    </w:p>
    <w:p w14:paraId="20648E5F" w14:textId="2C580918" w:rsidR="00F603ED" w:rsidRPr="003404A7" w:rsidRDefault="00F603ED" w:rsidP="00F603ED">
      <w:pPr>
        <w:spacing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</w:pPr>
      <w:r w:rsidRPr="003404A7">
        <w:rPr>
          <w:rFonts w:ascii="Century Gothic" w:hAnsi="Century Gothic"/>
          <w:b/>
          <w:bCs/>
          <w:sz w:val="20"/>
          <w:szCs w:val="20"/>
          <w:lang w:val="en-US"/>
        </w:rPr>
        <w:t>     </w:t>
      </w:r>
      <w:r w:rsidR="00071B73" w:rsidRPr="003404A7">
        <w:rPr>
          <w:rFonts w:ascii="Century Gothic" w:hAnsi="Century Gothic"/>
          <w:b/>
          <w:bCs/>
          <w:color w:val="323E4F" w:themeColor="text2" w:themeShade="BF"/>
          <w:sz w:val="20"/>
          <w:szCs w:val="20"/>
          <w:lang w:val="en-US"/>
        </w:rPr>
        <w:t>But above all, Polish Waters employs more than 6</w:t>
      </w:r>
      <w:r w:rsidRPr="003404A7">
        <w:rPr>
          <w:rFonts w:ascii="Century Gothic" w:hAnsi="Century Gothic"/>
          <w:b/>
          <w:bCs/>
          <w:color w:val="323E4F" w:themeColor="text2" w:themeShade="BF"/>
          <w:sz w:val="20"/>
          <w:szCs w:val="20"/>
          <w:lang w:val="en-US"/>
        </w:rPr>
        <w:t xml:space="preserve">000 </w:t>
      </w:r>
      <w:r w:rsidR="00071B73" w:rsidRPr="003404A7">
        <w:rPr>
          <w:rFonts w:ascii="Century Gothic" w:hAnsi="Century Gothic"/>
          <w:b/>
          <w:bCs/>
          <w:color w:val="323E4F" w:themeColor="text2" w:themeShade="BF"/>
          <w:sz w:val="20"/>
          <w:szCs w:val="20"/>
          <w:lang w:val="en-US"/>
        </w:rPr>
        <w:t>people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 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who perform their work with passion</w:t>
      </w:r>
      <w:r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. 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We are a newly established organization where everyone can find his or her place due to its size and diversity. We </w:t>
      </w:r>
      <w:r w:rsidR="00C535F0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perform</w:t>
      </w:r>
      <w:r w:rsidR="00071B73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 many important and necessary tasks</w:t>
      </w:r>
      <w:r w:rsidR="00C535F0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; among others, we operate flood control and river training structures, plan and supervise strategic investments, conduct proceedings related to hydraulic permits, </w:t>
      </w:r>
      <w:r w:rsidR="007629AB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>and</w:t>
      </w:r>
      <w:r w:rsidR="00C535F0" w:rsidRPr="003404A7">
        <w:rPr>
          <w:rFonts w:ascii="Century Gothic" w:hAnsi="Century Gothic"/>
          <w:color w:val="595959" w:themeColor="text1" w:themeTint="A6"/>
          <w:sz w:val="20"/>
          <w:szCs w:val="20"/>
          <w:lang w:val="en-US"/>
        </w:rPr>
        <w:t xml:space="preserve"> develop strategies and plans.</w:t>
      </w:r>
    </w:p>
    <w:p w14:paraId="4CB685E9" w14:textId="68C0BAEE" w:rsidR="00F603ED" w:rsidRPr="003404A7" w:rsidRDefault="00C535F0" w:rsidP="00F603ED">
      <w:pPr>
        <w:spacing w:line="240" w:lineRule="auto"/>
        <w:jc w:val="right"/>
        <w:rPr>
          <w:rFonts w:ascii="Century Gothic" w:hAnsi="Century Gothic"/>
          <w:b/>
          <w:color w:val="323E4F" w:themeColor="text2" w:themeShade="BF"/>
          <w:sz w:val="18"/>
          <w:szCs w:val="20"/>
          <w:lang w:val="en-US"/>
        </w:rPr>
      </w:pPr>
      <w:r w:rsidRPr="003404A7">
        <w:rPr>
          <w:rFonts w:ascii="Century Gothic" w:hAnsi="Century Gothic"/>
          <w:b/>
          <w:iCs/>
          <w:color w:val="323E4F" w:themeColor="text2" w:themeShade="BF"/>
          <w:sz w:val="20"/>
          <w:lang w:val="en-US"/>
        </w:rPr>
        <w:t>Enjoy work that is of significance</w:t>
      </w:r>
      <w:r w:rsidR="00F603ED" w:rsidRPr="003404A7">
        <w:rPr>
          <w:rFonts w:ascii="Century Gothic" w:hAnsi="Century Gothic"/>
          <w:b/>
          <w:iCs/>
          <w:color w:val="323E4F" w:themeColor="text2" w:themeShade="BF"/>
          <w:sz w:val="20"/>
          <w:lang w:val="en-US"/>
        </w:rPr>
        <w:t xml:space="preserve">. </w:t>
      </w:r>
      <w:r w:rsidRPr="003404A7">
        <w:rPr>
          <w:rFonts w:ascii="Century Gothic" w:hAnsi="Century Gothic"/>
          <w:b/>
          <w:iCs/>
          <w:color w:val="323E4F" w:themeColor="text2" w:themeShade="BF"/>
          <w:sz w:val="20"/>
          <w:lang w:val="en-US"/>
        </w:rPr>
        <w:t>Join us</w:t>
      </w:r>
      <w:r w:rsidR="00F603ED" w:rsidRPr="003404A7">
        <w:rPr>
          <w:rFonts w:ascii="Century Gothic" w:hAnsi="Century Gothic"/>
          <w:b/>
          <w:iCs/>
          <w:color w:val="323E4F" w:themeColor="text2" w:themeShade="BF"/>
          <w:sz w:val="20"/>
          <w:lang w:val="en-US"/>
        </w:rPr>
        <w:t>!</w:t>
      </w:r>
    </w:p>
    <w:p w14:paraId="328604B0" w14:textId="0204EAD5" w:rsidR="00C7484A" w:rsidRPr="003404A7" w:rsidRDefault="00C535F0" w:rsidP="00C7484A">
      <w:pPr>
        <w:spacing w:after="0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POLAND</w:t>
      </w:r>
      <w:r w:rsidR="00C7484A" w:rsidRPr="003404A7">
        <w:rPr>
          <w:rFonts w:ascii="Century Gothic" w:hAnsi="Century Gothic"/>
          <w:lang w:val="en-US"/>
        </w:rPr>
        <w:t xml:space="preserve"> </w:t>
      </w:r>
    </w:p>
    <w:p w14:paraId="2F7101D4" w14:textId="77777777" w:rsidR="0086293B" w:rsidRPr="003404A7" w:rsidRDefault="00C535F0" w:rsidP="00C7484A">
      <w:pPr>
        <w:spacing w:after="0"/>
        <w:jc w:val="both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THE ODRA-VISTULA FLOOD MANAGEMENT PROJECT</w:t>
      </w:r>
      <w:r w:rsidR="00C7484A" w:rsidRPr="003404A7">
        <w:rPr>
          <w:rFonts w:ascii="Century Gothic" w:hAnsi="Century Gothic"/>
          <w:lang w:val="en-US"/>
        </w:rPr>
        <w:t xml:space="preserve"> </w:t>
      </w:r>
    </w:p>
    <w:p w14:paraId="72A617ED" w14:textId="77777777" w:rsidR="0086293B" w:rsidRPr="003404A7" w:rsidRDefault="00C7484A" w:rsidP="00C7484A">
      <w:pPr>
        <w:spacing w:after="0"/>
        <w:jc w:val="both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IBRD</w:t>
      </w:r>
      <w:r w:rsidR="00C535F0" w:rsidRPr="003404A7">
        <w:rPr>
          <w:rFonts w:ascii="Century Gothic" w:hAnsi="Century Gothic"/>
          <w:lang w:val="en-US"/>
        </w:rPr>
        <w:t xml:space="preserve"> Loan No.</w:t>
      </w:r>
      <w:r w:rsidRPr="003404A7">
        <w:rPr>
          <w:rFonts w:ascii="Century Gothic" w:hAnsi="Century Gothic"/>
          <w:lang w:val="en-US"/>
        </w:rPr>
        <w:t xml:space="preserve"> 8524–PL</w:t>
      </w:r>
    </w:p>
    <w:p w14:paraId="2EE1CBEC" w14:textId="68F0E1B2" w:rsidR="00C7484A" w:rsidRPr="003404A7" w:rsidRDefault="0086293B" w:rsidP="00C7484A">
      <w:pPr>
        <w:spacing w:after="0"/>
        <w:jc w:val="both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A</w:t>
      </w:r>
      <w:r w:rsidR="00C535F0" w:rsidRPr="003404A7">
        <w:rPr>
          <w:rFonts w:ascii="Century Gothic" w:hAnsi="Century Gothic"/>
          <w:lang w:val="en-US"/>
        </w:rPr>
        <w:t>ssignment</w:t>
      </w:r>
      <w:r w:rsidRPr="003404A7">
        <w:rPr>
          <w:rFonts w:ascii="Century Gothic" w:hAnsi="Century Gothic"/>
          <w:lang w:val="en-US"/>
        </w:rPr>
        <w:t xml:space="preserve"> Title</w:t>
      </w:r>
      <w:r w:rsidR="00C7484A" w:rsidRPr="003404A7">
        <w:rPr>
          <w:rFonts w:ascii="Century Gothic" w:hAnsi="Century Gothic"/>
          <w:lang w:val="en-US"/>
        </w:rPr>
        <w:t xml:space="preserve">: </w:t>
      </w:r>
      <w:r w:rsidR="00C535F0" w:rsidRPr="003404A7">
        <w:rPr>
          <w:rFonts w:ascii="Century Gothic" w:hAnsi="Century Gothic"/>
          <w:lang w:val="en-US"/>
        </w:rPr>
        <w:t>Member of the International Dam Safety Panel of Experts under the Odra-Vistula Flood Management Project</w:t>
      </w:r>
    </w:p>
    <w:p w14:paraId="17D07B6B" w14:textId="03828161" w:rsidR="00C7484A" w:rsidRPr="003404A7" w:rsidRDefault="00C535F0" w:rsidP="00C7484A">
      <w:pPr>
        <w:spacing w:after="0"/>
        <w:jc w:val="both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No.</w:t>
      </w:r>
      <w:r w:rsidR="00C7484A" w:rsidRPr="003404A7">
        <w:rPr>
          <w:rFonts w:ascii="Century Gothic" w:hAnsi="Century Gothic"/>
          <w:lang w:val="en-US"/>
        </w:rPr>
        <w:t xml:space="preserve"> (</w:t>
      </w:r>
      <w:r w:rsidRPr="003404A7">
        <w:rPr>
          <w:rFonts w:ascii="Century Gothic" w:hAnsi="Century Gothic"/>
          <w:lang w:val="en-US"/>
        </w:rPr>
        <w:t>as per Procurement Plan</w:t>
      </w:r>
      <w:r w:rsidR="00C7484A" w:rsidRPr="003404A7">
        <w:rPr>
          <w:rFonts w:ascii="Century Gothic" w:hAnsi="Century Gothic"/>
          <w:lang w:val="en-US"/>
        </w:rPr>
        <w:t>): OVFMP 5.1</w:t>
      </w:r>
    </w:p>
    <w:p w14:paraId="341B7204" w14:textId="77777777" w:rsidR="00C7484A" w:rsidRPr="003404A7" w:rsidRDefault="00C7484A" w:rsidP="00C7484A">
      <w:pPr>
        <w:spacing w:after="0"/>
        <w:rPr>
          <w:rFonts w:ascii="Century Gothic" w:hAnsi="Century Gothic"/>
          <w:lang w:val="en-US"/>
        </w:rPr>
      </w:pPr>
    </w:p>
    <w:p w14:paraId="7D4B996F" w14:textId="7412D5B3" w:rsidR="00C7484A" w:rsidRPr="003404A7" w:rsidRDefault="0086293B" w:rsidP="00C7484A">
      <w:pPr>
        <w:spacing w:after="0"/>
        <w:jc w:val="both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The Government of the Republic of Poland has received financing from the World Bank toward the cost of the Odra-Vistula Flood Management Project (OVFMP) and intends to apply part of the proceeds for consulting services</w:t>
      </w:r>
      <w:r w:rsidR="00C7484A" w:rsidRPr="003404A7">
        <w:rPr>
          <w:rFonts w:ascii="Century Gothic" w:hAnsi="Century Gothic"/>
          <w:lang w:val="en-US"/>
        </w:rPr>
        <w:t>.</w:t>
      </w:r>
    </w:p>
    <w:p w14:paraId="57BF40ED" w14:textId="77777777" w:rsidR="00C7484A" w:rsidRPr="003404A7" w:rsidRDefault="00C7484A" w:rsidP="00C7484A">
      <w:pPr>
        <w:spacing w:after="0"/>
        <w:jc w:val="both"/>
        <w:rPr>
          <w:rFonts w:ascii="Century Gothic" w:hAnsi="Century Gothic"/>
          <w:lang w:val="en-US"/>
        </w:rPr>
      </w:pPr>
    </w:p>
    <w:p w14:paraId="10061B94" w14:textId="0BD64C56" w:rsidR="00865C79" w:rsidRPr="003404A7" w:rsidRDefault="0086293B" w:rsidP="00C7484A">
      <w:pPr>
        <w:jc w:val="center"/>
        <w:rPr>
          <w:rFonts w:ascii="Century Gothic" w:hAnsi="Century Gothic"/>
          <w:lang w:val="en-US"/>
        </w:rPr>
      </w:pPr>
      <w:r w:rsidRPr="003404A7">
        <w:rPr>
          <w:rFonts w:ascii="Century Gothic" w:hAnsi="Century Gothic"/>
          <w:lang w:val="en-US"/>
        </w:rPr>
        <w:t>RESQUEST FOR EXPRESSION OF INTEREST</w:t>
      </w:r>
      <w:r w:rsidR="00F603ED" w:rsidRPr="003404A7">
        <w:rPr>
          <w:rFonts w:ascii="Century Gothic" w:hAnsi="Century Gothic"/>
          <w:lang w:val="en-US"/>
        </w:rPr>
        <w:t xml:space="preserve"> </w:t>
      </w:r>
      <w:r w:rsidRPr="003404A7">
        <w:rPr>
          <w:rFonts w:ascii="Century Gothic" w:hAnsi="Century Gothic"/>
          <w:lang w:val="en-US"/>
        </w:rPr>
        <w:t>in the position of</w:t>
      </w:r>
      <w:r w:rsidR="00F603ED" w:rsidRPr="003404A7">
        <w:rPr>
          <w:rFonts w:ascii="Century Gothic" w:hAnsi="Century Gothic"/>
          <w:lang w:val="en-US"/>
        </w:rPr>
        <w:t>:</w:t>
      </w:r>
      <w:r w:rsidR="00191A1B" w:rsidRPr="003404A7">
        <w:rPr>
          <w:rFonts w:ascii="Century Gothic" w:hAnsi="Century Gothic"/>
          <w:lang w:val="en-US"/>
        </w:rPr>
        <w:br/>
      </w:r>
      <w:r w:rsidRPr="003404A7">
        <w:rPr>
          <w:rFonts w:ascii="Century Gothic" w:hAnsi="Century Gothic"/>
          <w:b/>
          <w:lang w:val="en-US"/>
        </w:rPr>
        <w:t xml:space="preserve">Member of the International Dam Safety Panel of Experts under the Odra-Vistula Flood Management Project </w:t>
      </w:r>
    </w:p>
    <w:p w14:paraId="437DE7ED" w14:textId="3D94789E" w:rsidR="00553490" w:rsidRPr="003404A7" w:rsidRDefault="0086293B" w:rsidP="0055349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val="en-US"/>
        </w:rPr>
      </w:pPr>
      <w:r w:rsidRPr="003404A7">
        <w:rPr>
          <w:rFonts w:ascii="Century Gothic" w:hAnsi="Century Gothic" w:cs="Arial"/>
          <w:sz w:val="20"/>
          <w:szCs w:val="20"/>
          <w:lang w:val="en-US"/>
        </w:rPr>
        <w:t>Place of work</w:t>
      </w:r>
      <w:r w:rsidR="00F603ED" w:rsidRPr="003404A7">
        <w:rPr>
          <w:rFonts w:ascii="Century Gothic" w:hAnsi="Century Gothic" w:cs="Arial"/>
          <w:sz w:val="20"/>
          <w:szCs w:val="20"/>
          <w:lang w:val="en-US"/>
        </w:rPr>
        <w:t xml:space="preserve">: </w:t>
      </w:r>
      <w:r w:rsidR="00E26236"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>Wrocław</w:t>
      </w:r>
      <w:r w:rsidR="00C7484A"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 xml:space="preserve">, </w:t>
      </w:r>
      <w:r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 xml:space="preserve">The </w:t>
      </w:r>
      <w:r w:rsidRPr="003404A7">
        <w:rPr>
          <w:rFonts w:ascii="Century Gothic" w:hAnsi="Century Gothic"/>
          <w:b/>
          <w:sz w:val="20"/>
          <w:szCs w:val="20"/>
          <w:lang w:val="en-US"/>
        </w:rPr>
        <w:t>Odra-Vistula Flood Management Project Coordination Unit – State Water Holding Polish Waters</w:t>
      </w:r>
    </w:p>
    <w:p w14:paraId="37CA6165" w14:textId="5006895A" w:rsidR="00185BF7" w:rsidRPr="003404A7" w:rsidRDefault="0086293B" w:rsidP="00185BF7">
      <w:pPr>
        <w:spacing w:after="0" w:line="240" w:lineRule="auto"/>
        <w:ind w:left="142"/>
        <w:rPr>
          <w:rFonts w:ascii="Century Gothic" w:hAnsi="Century Gothic" w:cs="Arial"/>
          <w:b/>
          <w:sz w:val="20"/>
          <w:szCs w:val="20"/>
          <w:lang w:val="en-US"/>
        </w:rPr>
      </w:pPr>
      <w:r w:rsidRPr="003404A7">
        <w:rPr>
          <w:rFonts w:ascii="Century Gothic" w:hAnsi="Century Gothic" w:cs="Arial"/>
          <w:sz w:val="20"/>
          <w:szCs w:val="20"/>
          <w:lang w:val="en-US"/>
        </w:rPr>
        <w:t>Number of vacancies</w:t>
      </w:r>
      <w:r w:rsidR="00185BF7" w:rsidRPr="003404A7">
        <w:rPr>
          <w:rFonts w:ascii="Century Gothic" w:hAnsi="Century Gothic" w:cs="Arial"/>
          <w:sz w:val="20"/>
          <w:szCs w:val="20"/>
          <w:lang w:val="en-US"/>
        </w:rPr>
        <w:t xml:space="preserve">: </w:t>
      </w:r>
      <w:r w:rsidR="00185BF7"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>2</w:t>
      </w:r>
    </w:p>
    <w:p w14:paraId="65D8A6A5" w14:textId="77777777" w:rsidR="00553490" w:rsidRPr="003404A7" w:rsidRDefault="00553490" w:rsidP="00F603E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00766D1E" w14:textId="67D94322" w:rsidR="002B1AEB" w:rsidRPr="003404A7" w:rsidRDefault="0086293B" w:rsidP="00AC18D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sz w:val="20"/>
          <w:szCs w:val="20"/>
          <w:lang w:val="en-US"/>
        </w:rPr>
        <w:t>We offer</w:t>
      </w:r>
      <w:r w:rsidR="00AC18DE" w:rsidRPr="003404A7">
        <w:rPr>
          <w:rFonts w:ascii="Century Gothic" w:hAnsi="Century Gothic" w:cs="Arial"/>
          <w:b/>
          <w:sz w:val="20"/>
          <w:szCs w:val="20"/>
          <w:lang w:val="en-US"/>
        </w:rPr>
        <w:t>:</w:t>
      </w:r>
    </w:p>
    <w:p w14:paraId="3E882045" w14:textId="6936E550" w:rsidR="00AC18DE" w:rsidRPr="003404A7" w:rsidRDefault="0086293B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3404A7">
        <w:rPr>
          <w:rFonts w:ascii="Century Gothic" w:hAnsi="Century Gothic" w:cs="Arial"/>
          <w:sz w:val="20"/>
          <w:szCs w:val="20"/>
          <w:lang w:val="en-US"/>
        </w:rPr>
        <w:t>Participation in one of the key flood protection projects in Poland</w:t>
      </w:r>
    </w:p>
    <w:p w14:paraId="6CE28EB5" w14:textId="5E1657CA" w:rsidR="000B6833" w:rsidRPr="003404A7" w:rsidRDefault="0086293B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Contract for consulting services</w:t>
      </w:r>
    </w:p>
    <w:p w14:paraId="60607826" w14:textId="66679D3E" w:rsidR="00185BF7" w:rsidRPr="003404A7" w:rsidRDefault="0086293B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3404A7">
        <w:rPr>
          <w:rFonts w:ascii="Century Gothic" w:hAnsi="Century Gothic" w:cs="Arial"/>
          <w:sz w:val="20"/>
          <w:szCs w:val="20"/>
          <w:lang w:val="en-US"/>
        </w:rPr>
        <w:t>Work in an international team</w:t>
      </w:r>
      <w:r w:rsidR="00185BF7" w:rsidRPr="003404A7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54BC1C1B" w14:textId="77777777" w:rsidR="00AC18DE" w:rsidRPr="003404A7" w:rsidRDefault="00AC18DE" w:rsidP="00CA6BF3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0E572919" w14:textId="1744F8C6" w:rsidR="00553490" w:rsidRPr="003404A7" w:rsidRDefault="0086293B" w:rsidP="00553490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sz w:val="20"/>
          <w:szCs w:val="20"/>
          <w:lang w:val="en-US"/>
        </w:rPr>
        <w:t>Scope of the Consultant’s responsibilities</w:t>
      </w:r>
      <w:r w:rsidR="00191A1B" w:rsidRPr="003404A7">
        <w:rPr>
          <w:rFonts w:ascii="Century Gothic" w:hAnsi="Century Gothic" w:cs="Arial"/>
          <w:b/>
          <w:sz w:val="20"/>
          <w:szCs w:val="20"/>
          <w:lang w:val="en-US"/>
        </w:rPr>
        <w:t>:</w:t>
      </w:r>
    </w:p>
    <w:p w14:paraId="4CC1E9B3" w14:textId="6F92D344" w:rsidR="00185BF7" w:rsidRPr="003404A7" w:rsidRDefault="0086293B" w:rsidP="00185BF7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The responsibilities of the Consultant – a member of the International Dam Safety Panel of Experts – will include providing advice in matters important to the safety of the dry polders constructed in the Kłodzko Valley and of large hydraulic infrastructure works carried out under the Odra-Vistula Flood Management Project. The Consultant’s assignment will include the following, in particular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:</w:t>
      </w:r>
    </w:p>
    <w:p w14:paraId="462F5995" w14:textId="77777777" w:rsidR="00185BF7" w:rsidRPr="003404A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  <w:lang w:val="en-US"/>
        </w:rPr>
      </w:pPr>
    </w:p>
    <w:p w14:paraId="218C9600" w14:textId="3D7C9E15" w:rsidR="00185BF7" w:rsidRPr="003404A7" w:rsidRDefault="00807B8A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/>
          <w:sz w:val="20"/>
          <w:szCs w:val="20"/>
          <w:lang w:val="en-US"/>
        </w:rPr>
        <w:t>At the design stage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:</w:t>
      </w:r>
    </w:p>
    <w:p w14:paraId="296354EB" w14:textId="77777777" w:rsidR="00185BF7" w:rsidRPr="003404A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  <w:lang w:val="en-US"/>
        </w:rPr>
      </w:pPr>
    </w:p>
    <w:p w14:paraId="62BD89D2" w14:textId="1D93F98C" w:rsidR="00185BF7" w:rsidRPr="003404A7" w:rsidRDefault="00BB7ED9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design assumptions, with particular reference to the geotechnical parameters used for characterizing shear strength and deformability of soil types used for the construction of foundations and embankments; as necessary commission, supervise, and interpret laboratory tests aimed at validating design assumptions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1C5D1DF3" w14:textId="6AF6E61A" w:rsidR="00185BF7" w:rsidRPr="003404A7" w:rsidRDefault="00BB7ED9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and check design documentation (construction designs, detailed designs, other) prepared by the designers and prepare recommendations covering the design solutions, construction work methods, the construction procedure, and risk assessment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3B52B2E4" w14:textId="445A947D" w:rsidR="00185BF7" w:rsidRPr="003404A7" w:rsidRDefault="00BB7ED9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the operation manuals and prepare recommendations to improve them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6EA5B6D5" w14:textId="09A1D569" w:rsidR="00185BF7" w:rsidRPr="003404A7" w:rsidRDefault="00BB7ED9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lastRenderedPageBreak/>
        <w:t>Review the operational rules of the dry polders and of other hydraulic structures as well as to prepare recommendations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6663F9B2" w14:textId="46EAC046" w:rsidR="00185BF7" w:rsidRPr="003404A7" w:rsidRDefault="00BB7ED9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the Operation and Maintenance Plan (OMP), and the Emergency Preparedness Plan (EPP) and make any necessary recommendation pertaining to the adequacy of such plans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246F064B" w14:textId="669024E3" w:rsidR="00185BF7" w:rsidRPr="003404A7" w:rsidRDefault="00BB7ED9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Prepare recommendations and opinions (“on an ad hoc basis”) if any problems arise that need to be resolved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.</w:t>
      </w:r>
    </w:p>
    <w:p w14:paraId="70B6CAD1" w14:textId="77777777" w:rsidR="00185BF7" w:rsidRPr="003404A7" w:rsidRDefault="00185BF7" w:rsidP="00185BF7">
      <w:pPr>
        <w:pStyle w:val="Akapitzlist"/>
        <w:spacing w:after="0" w:line="240" w:lineRule="auto"/>
        <w:ind w:left="1080" w:right="-2"/>
        <w:rPr>
          <w:rFonts w:ascii="Century Gothic" w:hAnsi="Century Gothic"/>
          <w:sz w:val="20"/>
          <w:szCs w:val="20"/>
          <w:lang w:val="en-US"/>
        </w:rPr>
      </w:pPr>
    </w:p>
    <w:p w14:paraId="525142E9" w14:textId="5229E24B" w:rsidR="00185BF7" w:rsidRPr="003404A7" w:rsidRDefault="00BB7ED9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At the contractor selection stage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:</w:t>
      </w:r>
    </w:p>
    <w:p w14:paraId="1280D26B" w14:textId="1D9DA381" w:rsidR="00185BF7" w:rsidRPr="003404A7" w:rsidRDefault="00BB7ED9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bidding documents with respect to technical specifications and requirements set to contractors as well as to prepare recommendations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73150A51" w14:textId="0079D338" w:rsidR="00185BF7" w:rsidRPr="003404A7" w:rsidRDefault="00BB7ED9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Prepare recommendations and opinions (“on an ad hoc basis”) if any problems arise that need to be resolved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5C788040" w14:textId="77777777" w:rsidR="00B975ED" w:rsidRPr="003404A7" w:rsidRDefault="00B975ED" w:rsidP="00BB7ED9">
      <w:pPr>
        <w:spacing w:after="0" w:line="240" w:lineRule="auto"/>
        <w:ind w:left="720" w:right="-2"/>
        <w:rPr>
          <w:rFonts w:ascii="Century Gothic" w:hAnsi="Century Gothic"/>
          <w:sz w:val="20"/>
          <w:szCs w:val="20"/>
          <w:lang w:val="en-US"/>
        </w:rPr>
      </w:pPr>
    </w:p>
    <w:p w14:paraId="0939AF27" w14:textId="6235C21F" w:rsidR="00185BF7" w:rsidRPr="003404A7" w:rsidRDefault="00B975ED" w:rsidP="00B975ED">
      <w:pPr>
        <w:spacing w:after="0" w:line="240" w:lineRule="auto"/>
        <w:ind w:left="284" w:right="-2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B7ED9" w:rsidRPr="003404A7">
        <w:rPr>
          <w:rFonts w:ascii="Century Gothic" w:hAnsi="Century Gothic" w:cs="Times New Roman"/>
          <w:sz w:val="20"/>
          <w:szCs w:val="20"/>
          <w:lang w:val="en-US"/>
        </w:rPr>
        <w:t>At the construction stage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:</w:t>
      </w:r>
    </w:p>
    <w:p w14:paraId="05012A09" w14:textId="6157EDF9" w:rsidR="00185BF7" w:rsidRPr="003404A7" w:rsidRDefault="00BB7ED9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Participate in meetings organized at the construction site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;</w:t>
      </w:r>
    </w:p>
    <w:p w14:paraId="18B65DF5" w14:textId="4A8FD8B1" w:rsidR="00185BF7" w:rsidRPr="003404A7" w:rsidRDefault="00BB7ED9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Evaluate work progress and quality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;</w:t>
      </w:r>
    </w:p>
    <w:p w14:paraId="273F4CCF" w14:textId="30D7C1B9" w:rsidR="00185BF7" w:rsidRPr="003404A7" w:rsidRDefault="00BB7ED9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Prepare recommendations and opinions (“on an ad hoc basis”) if any problems arise that need to be resolved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602FB2BE" w14:textId="77777777" w:rsidR="00BB7ED9" w:rsidRPr="003404A7" w:rsidRDefault="00BB7ED9" w:rsidP="00BB7ED9">
      <w:pPr>
        <w:pStyle w:val="Akapitzlist"/>
        <w:spacing w:after="0" w:line="240" w:lineRule="auto"/>
        <w:ind w:left="1080" w:right="-2"/>
        <w:rPr>
          <w:rFonts w:ascii="Century Gothic" w:hAnsi="Century Gothic" w:cs="Times New Roman"/>
          <w:sz w:val="20"/>
          <w:szCs w:val="20"/>
          <w:lang w:val="en-US"/>
        </w:rPr>
      </w:pPr>
    </w:p>
    <w:p w14:paraId="42725BA5" w14:textId="6D3625C7" w:rsidR="00185BF7" w:rsidRPr="003404A7" w:rsidRDefault="00BB7ED9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At the construction completion and operation stage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:</w:t>
      </w:r>
    </w:p>
    <w:p w14:paraId="3402C836" w14:textId="77777777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Participate in meetings organized at the construction site.</w:t>
      </w:r>
    </w:p>
    <w:p w14:paraId="69C792C9" w14:textId="28DDC0D7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the operational rules of the dry polders and other hydraulic structures.</w:t>
      </w:r>
    </w:p>
    <w:p w14:paraId="28571AB0" w14:textId="5E3BCA60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Make recommendations for the finalization of the OMP and of the EPP and review the final versions of such plans.</w:t>
      </w:r>
    </w:p>
    <w:p w14:paraId="6C4B4840" w14:textId="589246EC" w:rsidR="00185BF7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Prepare recommendations and opinions (“on an ad hoc basis”) if any problems arise that need to be resolved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25877086" w14:textId="77777777" w:rsidR="00B975ED" w:rsidRPr="003404A7" w:rsidRDefault="00B975ED" w:rsidP="00B975ED">
      <w:pPr>
        <w:pStyle w:val="Akapitzlist"/>
        <w:spacing w:after="0" w:line="240" w:lineRule="auto"/>
        <w:ind w:left="1080" w:right="-2"/>
        <w:rPr>
          <w:rFonts w:ascii="Century Gothic" w:hAnsi="Century Gothic"/>
          <w:sz w:val="20"/>
          <w:szCs w:val="20"/>
          <w:lang w:val="en-US"/>
        </w:rPr>
      </w:pPr>
    </w:p>
    <w:p w14:paraId="1F1FB377" w14:textId="55CF1905" w:rsidR="00185BF7" w:rsidRPr="003404A7" w:rsidRDefault="00BB7ED9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During the Project implementation</w:t>
      </w:r>
      <w:r w:rsidR="00185BF7" w:rsidRPr="003404A7">
        <w:rPr>
          <w:rFonts w:ascii="Century Gothic" w:hAnsi="Century Gothic"/>
          <w:sz w:val="20"/>
          <w:szCs w:val="20"/>
          <w:lang w:val="en-US"/>
        </w:rPr>
        <w:t>:</w:t>
      </w:r>
    </w:p>
    <w:p w14:paraId="6B97FE68" w14:textId="77777777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Review and analyze flood protection and emergency preparedness plans as well as to prepare recommendations.</w:t>
      </w:r>
    </w:p>
    <w:p w14:paraId="4107D6D0" w14:textId="794A27B4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Participate in meetings related to the preparation and implementation of the Odra-Vistula Flood Management Project.</w:t>
      </w:r>
    </w:p>
    <w:p w14:paraId="64C8CD4A" w14:textId="2CE20D84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Prepare recommendations and opinions (“on an ad hoc basis”) if any problems arise that need to be resolved.</w:t>
      </w:r>
    </w:p>
    <w:p w14:paraId="06788706" w14:textId="772D54CB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Provide technical support to the PCU Consultants with regard to issues related to the operation of hydraulic structures as well as control and management of water management facilities.</w:t>
      </w:r>
    </w:p>
    <w:p w14:paraId="58E09D50" w14:textId="211AF9C4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Provide technical support in assessment of the technical condition of hydraulic infrastructure.</w:t>
      </w:r>
    </w:p>
    <w:p w14:paraId="3BFFDF61" w14:textId="22EC9E29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Provide support to the PCU in analyses and proposals to initiate the preparation of assumptions for concepts of new projects and activities.</w:t>
      </w:r>
    </w:p>
    <w:p w14:paraId="6229537E" w14:textId="6A7C4915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Present opinions and recommendations regarding activities supervised and coordinated by the PCU.</w:t>
      </w:r>
    </w:p>
    <w:p w14:paraId="6674FF02" w14:textId="28A3CED5" w:rsidR="00BB7ED9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Give opinion on new investments and projects proposed by the entities cooperating with the PCU.</w:t>
      </w:r>
    </w:p>
    <w:p w14:paraId="0E44CA0D" w14:textId="2F427874" w:rsidR="00185BF7" w:rsidRPr="003404A7" w:rsidRDefault="00BB7ED9" w:rsidP="00BB7ED9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 w:cs="Times New Roman"/>
          <w:sz w:val="20"/>
          <w:szCs w:val="20"/>
          <w:lang w:val="en-US"/>
        </w:rPr>
      </w:pPr>
      <w:r w:rsidRPr="003404A7">
        <w:rPr>
          <w:rFonts w:ascii="Century Gothic" w:hAnsi="Century Gothic" w:cs="Times New Roman"/>
          <w:sz w:val="20"/>
          <w:szCs w:val="20"/>
          <w:lang w:val="en-US"/>
        </w:rPr>
        <w:t>Participate in working meetings at the Client’s invitation</w:t>
      </w:r>
      <w:r w:rsidR="00185BF7" w:rsidRPr="003404A7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630A44C3" w14:textId="77777777" w:rsidR="00191A1B" w:rsidRPr="003404A7" w:rsidRDefault="00191A1B" w:rsidP="00AC18DE">
      <w:pPr>
        <w:spacing w:after="0" w:line="240" w:lineRule="auto"/>
        <w:ind w:left="360" w:right="-2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636F234E" w14:textId="6094A59C" w:rsidR="0078364C" w:rsidRPr="003404A7" w:rsidRDefault="00BB7ED9" w:rsidP="00F603ED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sz w:val="20"/>
          <w:szCs w:val="20"/>
          <w:lang w:val="en-US"/>
        </w:rPr>
        <w:t>We expect</w:t>
      </w:r>
      <w:r w:rsidR="00AC18DE" w:rsidRPr="003404A7">
        <w:rPr>
          <w:rFonts w:ascii="Century Gothic" w:hAnsi="Century Gothic" w:cs="Arial"/>
          <w:b/>
          <w:sz w:val="20"/>
          <w:szCs w:val="20"/>
          <w:lang w:val="en-US"/>
        </w:rPr>
        <w:t>:</w:t>
      </w:r>
    </w:p>
    <w:p w14:paraId="33E9B767" w14:textId="550CA3BB" w:rsidR="00BB7ED9" w:rsidRPr="003404A7" w:rsidRDefault="001E2076" w:rsidP="00BB7ED9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>At least a Master Engineer’s degree in water management and/or hydraulic/hydrotechnical engineering and/or geotechnical engineering within the meaning of the regulations on higher education</w:t>
      </w:r>
      <w:r w:rsidR="00BB7ED9" w:rsidRPr="003404A7">
        <w:rPr>
          <w:rFonts w:ascii="Century Gothic" w:hAnsi="Century Gothic"/>
          <w:sz w:val="20"/>
          <w:szCs w:val="20"/>
          <w:lang w:val="en-US"/>
        </w:rPr>
        <w:t>.</w:t>
      </w:r>
    </w:p>
    <w:p w14:paraId="04380CEB" w14:textId="77777777" w:rsidR="001E2076" w:rsidRPr="001E2076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 xml:space="preserve">Knowledge of and experience in the area of hydraulic engineering, water management, and geotechnical engineering;  </w:t>
      </w:r>
    </w:p>
    <w:p w14:paraId="75545228" w14:textId="77777777" w:rsidR="001E2076" w:rsidRPr="001E2076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>Knowledge of issues related to flood protection and environmental protection;</w:t>
      </w:r>
    </w:p>
    <w:p w14:paraId="3EE0D0FA" w14:textId="77777777" w:rsidR="001E2076" w:rsidRPr="001E2076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>Knowledge of and experience in  design and/or management of civil works with a general contractor and/or in a Contract Engineer team with respect to earthen damming structures (knowledge of FIDIC procedures will be an additional advantage);</w:t>
      </w:r>
    </w:p>
    <w:p w14:paraId="51BDD7D1" w14:textId="77777777" w:rsidR="001E2076" w:rsidRPr="001E2076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>More than 20 years of professional experience that includes participation in international projects (holding a designer’s license and/or a license to manage civil works or other documents confirming professional qualifications necessary to design and/or manage civil works will be an additional advantage);</w:t>
      </w:r>
    </w:p>
    <w:p w14:paraId="7B0D5453" w14:textId="77777777" w:rsidR="001E2076" w:rsidRPr="001E2076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lastRenderedPageBreak/>
        <w:t>Experience in cooperation with government agencies implementing investments related to hydraulic/flood protection structures;</w:t>
      </w:r>
    </w:p>
    <w:p w14:paraId="4968E777" w14:textId="77777777" w:rsidR="001E2076" w:rsidRPr="001E2076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 xml:space="preserve">Knowledge of and experience in investment process preparation, including analysis of investment costs;  </w:t>
      </w:r>
    </w:p>
    <w:p w14:paraId="19AA4034" w14:textId="5884AF0C" w:rsidR="00682E95" w:rsidRPr="003404A7" w:rsidRDefault="001E2076" w:rsidP="001E2076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E2076">
        <w:rPr>
          <w:rFonts w:ascii="Century Gothic" w:hAnsi="Century Gothic"/>
          <w:sz w:val="20"/>
          <w:szCs w:val="20"/>
          <w:lang w:val="en-US"/>
        </w:rPr>
        <w:t>Knowledge of structural solutions for flood risk reduction as well as of earthworks technologies</w:t>
      </w:r>
      <w:r w:rsidR="00BB7ED9" w:rsidRPr="003404A7">
        <w:rPr>
          <w:rFonts w:ascii="Century Gothic" w:hAnsi="Century Gothic"/>
          <w:sz w:val="20"/>
          <w:szCs w:val="20"/>
          <w:lang w:val="en-US"/>
        </w:rPr>
        <w:t>.</w:t>
      </w:r>
    </w:p>
    <w:p w14:paraId="1D311C01" w14:textId="33E46EBC" w:rsidR="00BB7ED9" w:rsidRPr="003404A7" w:rsidRDefault="00BB7ED9" w:rsidP="00BB7ED9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3404A7">
        <w:rPr>
          <w:rFonts w:ascii="Century Gothic" w:hAnsi="Century Gothic"/>
          <w:sz w:val="20"/>
          <w:szCs w:val="20"/>
          <w:lang w:val="en-US"/>
        </w:rPr>
        <w:t>Knowledge of English.</w:t>
      </w:r>
    </w:p>
    <w:p w14:paraId="23544E3A" w14:textId="19681DF1" w:rsidR="00657D65" w:rsidRPr="003404A7" w:rsidRDefault="00657D65" w:rsidP="00657D65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73A4A03E" w14:textId="5CB84F4F" w:rsidR="00C7484A" w:rsidRPr="003404A7" w:rsidRDefault="003E7C69" w:rsidP="00C7484A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>The attention of interested Consultants is drawn to paragraph 1.9 of the World Bank’s Guidelines: Selection and Employment of Consultants under IBRD Loans and IDA Credits &amp; Grants by World Bank Borrowers, January 2011, revised July 2014 (“Consultant Guidelines”), setting forth the World Bank’s policy on conflict of interest</w:t>
      </w:r>
      <w:r w:rsidR="00C7484A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. </w:t>
      </w:r>
    </w:p>
    <w:p w14:paraId="0DA452FA" w14:textId="77777777" w:rsidR="00C7484A" w:rsidRPr="003404A7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</w:p>
    <w:p w14:paraId="5709CCB3" w14:textId="21E862BB" w:rsidR="00F603ED" w:rsidRPr="003404A7" w:rsidRDefault="00BB7ED9" w:rsidP="00C7484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The Consultant will be selected based on the method for the selection of individual consultants </w:t>
      </w:r>
      <w:r w:rsidR="00240502">
        <w:rPr>
          <w:rFonts w:ascii="Century Gothic" w:hAnsi="Century Gothic" w:cs="Arial"/>
          <w:b/>
          <w:bCs/>
          <w:sz w:val="20"/>
          <w:szCs w:val="20"/>
          <w:lang w:val="en-US"/>
        </w:rPr>
        <w:t>specified in the</w:t>
      </w:r>
      <w:r w:rsidR="00240502" w:rsidRPr="00240502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</w:t>
      </w:r>
      <w:r w:rsidR="00240502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>World Bank’s</w:t>
      </w:r>
      <w:r w:rsidR="00240502" w:rsidRPr="00240502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</w:t>
      </w:r>
      <w:r w:rsidR="00240502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>Consultant Guidelines</w:t>
      </w:r>
      <w:r w:rsidR="00C7484A" w:rsidRPr="003404A7">
        <w:rPr>
          <w:rFonts w:ascii="Century Gothic" w:hAnsi="Century Gothic" w:cs="Arial"/>
          <w:b/>
          <w:sz w:val="20"/>
          <w:szCs w:val="20"/>
          <w:lang w:val="en-US"/>
        </w:rPr>
        <w:t>.</w:t>
      </w:r>
    </w:p>
    <w:p w14:paraId="6664A43B" w14:textId="1F4D9C16" w:rsidR="00191A1B" w:rsidRPr="003404A7" w:rsidRDefault="00191A1B" w:rsidP="00F603ED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1459C6F7" w14:textId="6B2062EB" w:rsidR="00296877" w:rsidRPr="003404A7" w:rsidRDefault="003E7C69" w:rsidP="00296877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Interested Consultants should provide information demonstrating that they have the required qualifications and </w:t>
      </w:r>
      <w:r w:rsidR="0096334C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adequate </w:t>
      </w:r>
      <w:r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experience </w:t>
      </w:r>
      <w:r w:rsidR="0096334C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>to provide the Services</w:t>
      </w:r>
      <w:r w:rsidR="00296877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>.</w:t>
      </w:r>
      <w:r w:rsidR="0096334C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The criteria are described in the Terms of Reference (ToR), which are attached </w:t>
      </w:r>
      <w:r w:rsidR="00240502"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to </w:t>
      </w:r>
      <w:r w:rsidR="0096334C" w:rsidRPr="003404A7">
        <w:rPr>
          <w:rFonts w:ascii="Century Gothic" w:hAnsi="Century Gothic" w:cs="Arial"/>
          <w:b/>
          <w:bCs/>
          <w:sz w:val="20"/>
          <w:szCs w:val="20"/>
          <w:lang w:val="en-US"/>
        </w:rPr>
        <w:t>this advertisement.</w:t>
      </w:r>
    </w:p>
    <w:p w14:paraId="7F69AE89" w14:textId="77777777" w:rsidR="00296877" w:rsidRPr="003404A7" w:rsidRDefault="00296877" w:rsidP="00F603ED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5FA853AA" w14:textId="6B4DB72F" w:rsidR="0003654D" w:rsidRPr="003404A7" w:rsidRDefault="0096334C" w:rsidP="0003654D">
      <w:pPr>
        <w:spacing w:after="0"/>
        <w:jc w:val="both"/>
        <w:rPr>
          <w:rFonts w:cstheme="minorHAnsi"/>
          <w:sz w:val="20"/>
          <w:szCs w:val="20"/>
          <w:lang w:val="en-US"/>
        </w:rPr>
      </w:pPr>
      <w:r w:rsidRPr="003404A7">
        <w:rPr>
          <w:rFonts w:cstheme="minorHAnsi"/>
          <w:sz w:val="20"/>
          <w:szCs w:val="20"/>
          <w:lang w:val="en-US"/>
        </w:rPr>
        <w:t xml:space="preserve">If you are interested in </w:t>
      </w:r>
      <w:r w:rsidR="00240502">
        <w:rPr>
          <w:rFonts w:cstheme="minorHAnsi"/>
          <w:sz w:val="20"/>
          <w:szCs w:val="20"/>
          <w:lang w:val="en-US"/>
        </w:rPr>
        <w:t>our</w:t>
      </w:r>
      <w:r w:rsidRPr="003404A7">
        <w:rPr>
          <w:rFonts w:cstheme="minorHAnsi"/>
          <w:sz w:val="20"/>
          <w:szCs w:val="20"/>
          <w:lang w:val="en-US"/>
        </w:rPr>
        <w:t xml:space="preserve"> advertisement and think that your skills and character meet our requirements, </w:t>
      </w:r>
      <w:r w:rsidRPr="003404A7">
        <w:rPr>
          <w:rFonts w:cstheme="minorHAnsi"/>
          <w:b/>
          <w:color w:val="323E4F" w:themeColor="text2" w:themeShade="BF"/>
          <w:sz w:val="20"/>
          <w:szCs w:val="20"/>
          <w:lang w:val="en-US"/>
        </w:rPr>
        <w:t>send to us your</w:t>
      </w:r>
      <w:r w:rsidR="0003654D" w:rsidRPr="003404A7">
        <w:rPr>
          <w:rFonts w:cstheme="minorHAnsi"/>
          <w:b/>
          <w:color w:val="323E4F" w:themeColor="text2" w:themeShade="BF"/>
          <w:sz w:val="20"/>
          <w:szCs w:val="20"/>
          <w:lang w:val="en-US"/>
        </w:rPr>
        <w:t xml:space="preserve"> CV </w:t>
      </w:r>
      <w:r w:rsidR="002567B9">
        <w:rPr>
          <w:rFonts w:cstheme="minorHAnsi"/>
          <w:b/>
          <w:color w:val="323E4F" w:themeColor="text2" w:themeShade="BF"/>
          <w:sz w:val="20"/>
          <w:szCs w:val="20"/>
          <w:lang w:val="en-US"/>
        </w:rPr>
        <w:t xml:space="preserve">and </w:t>
      </w:r>
      <w:r w:rsidRPr="003404A7">
        <w:rPr>
          <w:rFonts w:cstheme="minorHAnsi"/>
          <w:b/>
          <w:color w:val="323E4F" w:themeColor="text2" w:themeShade="BF"/>
          <w:sz w:val="20"/>
          <w:szCs w:val="20"/>
          <w:lang w:val="en-US"/>
        </w:rPr>
        <w:t>letter of application</w:t>
      </w:r>
      <w:r w:rsidR="0003654D" w:rsidRPr="003404A7">
        <w:rPr>
          <w:rFonts w:cstheme="minorHAnsi"/>
          <w:color w:val="323E4F" w:themeColor="text2" w:themeShade="BF"/>
          <w:sz w:val="20"/>
          <w:szCs w:val="20"/>
          <w:lang w:val="en-US"/>
        </w:rPr>
        <w:t xml:space="preserve"> </w:t>
      </w:r>
      <w:r w:rsidRPr="003404A7">
        <w:rPr>
          <w:rFonts w:cstheme="minorHAnsi"/>
          <w:sz w:val="20"/>
          <w:szCs w:val="20"/>
          <w:lang w:val="en-US"/>
        </w:rPr>
        <w:t>by electronic mail to the address</w:t>
      </w:r>
      <w:r w:rsidR="0003654D" w:rsidRPr="003404A7">
        <w:rPr>
          <w:lang w:val="en-US"/>
        </w:rPr>
        <w:t xml:space="preserve"> </w:t>
      </w:r>
      <w:hyperlink r:id="rId6" w:history="1">
        <w:r w:rsidR="0003654D" w:rsidRPr="003404A7">
          <w:rPr>
            <w:rStyle w:val="Hipercze"/>
            <w:lang w:val="en-US"/>
          </w:rPr>
          <w:t>malgorzata.wysocka@wody.gov.pl</w:t>
        </w:r>
      </w:hyperlink>
      <w:r w:rsidR="0003654D" w:rsidRPr="003404A7">
        <w:rPr>
          <w:lang w:val="en-US"/>
        </w:rPr>
        <w:t xml:space="preserve"> </w:t>
      </w:r>
      <w:r w:rsidRPr="003404A7">
        <w:rPr>
          <w:rFonts w:cstheme="minorHAnsi"/>
          <w:color w:val="262626" w:themeColor="text1" w:themeTint="D9"/>
          <w:sz w:val="20"/>
          <w:szCs w:val="20"/>
          <w:lang w:val="en-US"/>
        </w:rPr>
        <w:t>with the name of the position applied for in the</w:t>
      </w:r>
      <w:r w:rsidR="00BF4B8A" w:rsidRPr="003404A7">
        <w:rPr>
          <w:rFonts w:cstheme="minorHAnsi"/>
          <w:color w:val="262626" w:themeColor="text1" w:themeTint="D9"/>
          <w:sz w:val="20"/>
          <w:szCs w:val="20"/>
          <w:lang w:val="en-US"/>
        </w:rPr>
        <w:t xml:space="preserve"> </w:t>
      </w:r>
      <w:r w:rsidR="00240502">
        <w:rPr>
          <w:rFonts w:cstheme="minorHAnsi"/>
          <w:color w:val="262626" w:themeColor="text1" w:themeTint="D9"/>
          <w:sz w:val="20"/>
          <w:szCs w:val="20"/>
          <w:lang w:val="en-US"/>
        </w:rPr>
        <w:t>subject</w:t>
      </w:r>
      <w:r w:rsidR="00BF4B8A" w:rsidRPr="003404A7">
        <w:rPr>
          <w:rFonts w:cstheme="minorHAnsi"/>
          <w:color w:val="262626" w:themeColor="text1" w:themeTint="D9"/>
          <w:sz w:val="20"/>
          <w:szCs w:val="20"/>
          <w:lang w:val="en-US"/>
        </w:rPr>
        <w:t xml:space="preserve"> of </w:t>
      </w:r>
      <w:r w:rsidR="00240502">
        <w:rPr>
          <w:rFonts w:cstheme="minorHAnsi"/>
          <w:color w:val="262626" w:themeColor="text1" w:themeTint="D9"/>
          <w:sz w:val="20"/>
          <w:szCs w:val="20"/>
          <w:lang w:val="en-US"/>
        </w:rPr>
        <w:t>your email,</w:t>
      </w:r>
      <w:r w:rsidR="00BF4B8A" w:rsidRPr="003404A7">
        <w:rPr>
          <w:rFonts w:cstheme="minorHAnsi"/>
          <w:color w:val="262626" w:themeColor="text1" w:themeTint="D9"/>
          <w:sz w:val="20"/>
          <w:szCs w:val="20"/>
          <w:lang w:val="en-US"/>
        </w:rPr>
        <w:t xml:space="preserve"> </w:t>
      </w:r>
      <w:r w:rsidR="00240502">
        <w:rPr>
          <w:rFonts w:cstheme="minorHAnsi"/>
          <w:color w:val="262626" w:themeColor="text1" w:themeTint="D9"/>
          <w:sz w:val="20"/>
          <w:szCs w:val="20"/>
          <w:lang w:val="en-US"/>
        </w:rPr>
        <w:t>which should contain</w:t>
      </w:r>
      <w:r w:rsidR="00BF4B8A" w:rsidRPr="003404A7">
        <w:rPr>
          <w:rFonts w:cstheme="minorHAnsi"/>
          <w:color w:val="262626" w:themeColor="text1" w:themeTint="D9"/>
          <w:sz w:val="20"/>
          <w:szCs w:val="20"/>
          <w:lang w:val="en-US"/>
        </w:rPr>
        <w:t xml:space="preserve"> the following clause</w:t>
      </w:r>
      <w:r w:rsidR="0003654D" w:rsidRPr="003404A7">
        <w:rPr>
          <w:rFonts w:cstheme="minorHAnsi"/>
          <w:sz w:val="20"/>
          <w:szCs w:val="20"/>
          <w:lang w:val="en-US"/>
        </w:rPr>
        <w:t>:</w:t>
      </w:r>
    </w:p>
    <w:p w14:paraId="579E8263" w14:textId="09FC275C" w:rsidR="0003654D" w:rsidRPr="003404A7" w:rsidRDefault="00240502" w:rsidP="0003654D">
      <w:pPr>
        <w:spacing w:after="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“</w:t>
      </w:r>
      <w:r w:rsidR="00BF4B8A" w:rsidRPr="003404A7">
        <w:rPr>
          <w:rFonts w:cstheme="minorHAnsi"/>
          <w:sz w:val="20"/>
          <w:szCs w:val="20"/>
          <w:lang w:val="en-US"/>
        </w:rPr>
        <w:t>I consent to the collection and processing of my personal data by the State Water Holding Polish Waters for the purpose of the recruitment process</w:t>
      </w:r>
      <w:r w:rsidR="0003654D" w:rsidRPr="003404A7">
        <w:rPr>
          <w:rFonts w:cstheme="minorHAnsi"/>
          <w:sz w:val="20"/>
          <w:szCs w:val="20"/>
          <w:lang w:val="en-US"/>
        </w:rPr>
        <w:t>.”</w:t>
      </w:r>
    </w:p>
    <w:p w14:paraId="76FD03CD" w14:textId="77777777" w:rsidR="0003654D" w:rsidRPr="003404A7" w:rsidRDefault="0003654D" w:rsidP="0003654D">
      <w:pPr>
        <w:spacing w:after="0" w:line="240" w:lineRule="auto"/>
        <w:jc w:val="center"/>
        <w:rPr>
          <w:rFonts w:cstheme="minorHAnsi"/>
          <w:sz w:val="12"/>
          <w:szCs w:val="12"/>
          <w:lang w:val="en-US"/>
        </w:rPr>
      </w:pPr>
    </w:p>
    <w:p w14:paraId="6387C8A1" w14:textId="7508FD8F" w:rsidR="0003654D" w:rsidRPr="003404A7" w:rsidRDefault="00BF4B8A" w:rsidP="0003654D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404A7">
        <w:rPr>
          <w:rFonts w:cstheme="minorHAnsi"/>
          <w:sz w:val="20"/>
          <w:szCs w:val="20"/>
          <w:lang w:val="en-US"/>
        </w:rPr>
        <w:t>Applications should be submitted by</w:t>
      </w:r>
      <w:r w:rsidR="0003654D" w:rsidRPr="003404A7">
        <w:rPr>
          <w:rFonts w:cstheme="minorHAnsi"/>
          <w:sz w:val="20"/>
          <w:szCs w:val="20"/>
          <w:lang w:val="en-US"/>
        </w:rPr>
        <w:t xml:space="preserve">: </w:t>
      </w:r>
      <w:r w:rsidR="005D30E5">
        <w:rPr>
          <w:rFonts w:cstheme="minorHAnsi"/>
          <w:b/>
          <w:color w:val="323E4F" w:themeColor="text2" w:themeShade="BF"/>
          <w:sz w:val="20"/>
          <w:szCs w:val="20"/>
          <w:lang w:val="en-US"/>
        </w:rPr>
        <w:t>September</w:t>
      </w:r>
      <w:r w:rsidRPr="003404A7">
        <w:rPr>
          <w:rFonts w:cstheme="minorHAnsi"/>
          <w:b/>
          <w:color w:val="323E4F" w:themeColor="text2" w:themeShade="BF"/>
          <w:sz w:val="20"/>
          <w:szCs w:val="20"/>
          <w:lang w:val="en-US"/>
        </w:rPr>
        <w:t xml:space="preserve"> </w:t>
      </w:r>
      <w:r w:rsidR="005D30E5">
        <w:rPr>
          <w:rFonts w:cstheme="minorHAnsi"/>
          <w:b/>
          <w:color w:val="323E4F" w:themeColor="text2" w:themeShade="BF"/>
          <w:sz w:val="20"/>
          <w:szCs w:val="20"/>
          <w:lang w:val="en-US"/>
        </w:rPr>
        <w:t>16</w:t>
      </w:r>
      <w:r w:rsidRPr="003404A7">
        <w:rPr>
          <w:rFonts w:cstheme="minorHAnsi"/>
          <w:b/>
          <w:color w:val="323E4F" w:themeColor="text2" w:themeShade="BF"/>
          <w:sz w:val="20"/>
          <w:szCs w:val="20"/>
          <w:lang w:val="en-US"/>
        </w:rPr>
        <w:t>, 2020</w:t>
      </w:r>
      <w:r w:rsidR="0003654D" w:rsidRPr="003404A7">
        <w:rPr>
          <w:rFonts w:cstheme="minorHAnsi"/>
          <w:b/>
          <w:color w:val="323E4F" w:themeColor="text2" w:themeShade="BF"/>
          <w:sz w:val="20"/>
          <w:szCs w:val="20"/>
          <w:lang w:val="en-US"/>
        </w:rPr>
        <w:t>.</w:t>
      </w:r>
    </w:p>
    <w:p w14:paraId="0DE97132" w14:textId="77777777" w:rsidR="00F603ED" w:rsidRPr="003404A7" w:rsidRDefault="00F603ED" w:rsidP="00F603ED">
      <w:pPr>
        <w:spacing w:after="0" w:line="240" w:lineRule="auto"/>
        <w:rPr>
          <w:rFonts w:ascii="Century Gothic" w:hAnsi="Century Gothic" w:cs="Arial"/>
          <w:sz w:val="12"/>
          <w:szCs w:val="12"/>
          <w:lang w:val="en-US"/>
        </w:rPr>
      </w:pPr>
    </w:p>
    <w:p w14:paraId="4FA85531" w14:textId="78BFEDF6" w:rsidR="00F603ED" w:rsidRPr="003404A7" w:rsidRDefault="00BF4B8A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>We thank in advance for sending applications. We kindly inform that</w:t>
      </w:r>
      <w:r w:rsidR="00F603ED"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 xml:space="preserve"> </w:t>
      </w:r>
    </w:p>
    <w:p w14:paraId="07D92454" w14:textId="3311DAE5" w:rsidR="00F603ED" w:rsidRPr="003404A7" w:rsidRDefault="00240502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</w:pPr>
      <w:r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>w</w:t>
      </w:r>
      <w:r w:rsidR="00BF4B8A"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>e will contact only selected candidates</w:t>
      </w:r>
      <w:r w:rsidR="00F603ED" w:rsidRPr="003404A7">
        <w:rPr>
          <w:rFonts w:ascii="Century Gothic" w:hAnsi="Century Gothic" w:cs="Arial"/>
          <w:b/>
          <w:color w:val="323E4F" w:themeColor="text2" w:themeShade="BF"/>
          <w:sz w:val="20"/>
          <w:szCs w:val="20"/>
          <w:lang w:val="en-US"/>
        </w:rPr>
        <w:t>.</w:t>
      </w:r>
    </w:p>
    <w:p w14:paraId="71152516" w14:textId="77777777" w:rsidR="00540DF4" w:rsidRPr="003404A7" w:rsidRDefault="00540DF4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10"/>
          <w:szCs w:val="10"/>
          <w:lang w:val="en-US"/>
        </w:rPr>
      </w:pPr>
    </w:p>
    <w:p w14:paraId="5936BDEE" w14:textId="24F07B34" w:rsidR="00191A1B" w:rsidRPr="003404A7" w:rsidRDefault="00BF4B8A" w:rsidP="00191A1B">
      <w:pPr>
        <w:pStyle w:val="Akapitzlist"/>
        <w:spacing w:after="0" w:line="240" w:lineRule="auto"/>
        <w:ind w:left="502"/>
        <w:rPr>
          <w:rFonts w:ascii="Century Gothic" w:hAnsi="Century Gothic" w:cs="Arial"/>
          <w:sz w:val="20"/>
          <w:szCs w:val="20"/>
          <w:lang w:val="en-US"/>
        </w:rPr>
      </w:pPr>
      <w:r w:rsidRPr="003404A7">
        <w:rPr>
          <w:rFonts w:ascii="Century Gothic" w:hAnsi="Century Gothic" w:cs="Arial"/>
          <w:b/>
          <w:sz w:val="18"/>
          <w:szCs w:val="18"/>
          <w:lang w:val="en-US"/>
        </w:rPr>
        <w:t>Information regarding personal data protection</w:t>
      </w:r>
      <w:r w:rsidR="00191A1B" w:rsidRPr="003404A7">
        <w:rPr>
          <w:rFonts w:ascii="Century Gothic" w:hAnsi="Century Gothic" w:cs="Arial"/>
          <w:b/>
          <w:sz w:val="18"/>
          <w:szCs w:val="18"/>
          <w:lang w:val="en-US"/>
        </w:rPr>
        <w:t>:</w:t>
      </w:r>
    </w:p>
    <w:p w14:paraId="79C5A54A" w14:textId="77FE5B09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1. </w:t>
      </w:r>
      <w:r w:rsidR="00BF4B8A" w:rsidRPr="003404A7">
        <w:rPr>
          <w:rFonts w:ascii="Century Gothic" w:hAnsi="Century Gothic" w:cs="Arial"/>
          <w:sz w:val="13"/>
          <w:szCs w:val="13"/>
          <w:lang w:val="en-US"/>
        </w:rPr>
        <w:t>The controller of personal data processed in the recruitment process is the State Water Holding Polish Waters</w:t>
      </w:r>
      <w:r w:rsidRPr="003404A7">
        <w:rPr>
          <w:rFonts w:ascii="Century Gothic" w:hAnsi="Century Gothic" w:cs="Arial"/>
          <w:sz w:val="13"/>
          <w:szCs w:val="13"/>
          <w:lang w:val="en-US"/>
        </w:rPr>
        <w:t>, ul. Grzybowska 80/82, 00-844 Warszawa.</w:t>
      </w:r>
    </w:p>
    <w:p w14:paraId="2E630A7C" w14:textId="119E7F8C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2. </w:t>
      </w:r>
      <w:r w:rsidR="00BF4B8A" w:rsidRPr="003404A7">
        <w:rPr>
          <w:rFonts w:ascii="Century Gothic" w:hAnsi="Century Gothic" w:cs="Arial"/>
          <w:sz w:val="13"/>
          <w:szCs w:val="13"/>
          <w:lang w:val="en-US"/>
        </w:rPr>
        <w:t>The Data Protection Officer can be contacted at the following address</w:t>
      </w: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: </w:t>
      </w:r>
    </w:p>
    <w:p w14:paraId="2896019A" w14:textId="4D98F3D4" w:rsidR="005C0F9B" w:rsidRPr="007629AB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7629AB">
        <w:rPr>
          <w:rFonts w:ascii="Century Gothic" w:hAnsi="Century Gothic" w:cs="Arial"/>
          <w:sz w:val="13"/>
          <w:szCs w:val="13"/>
        </w:rPr>
        <w:t>Państwowe Gospodarstwo Wodne Wody Polskie, ul. Grzybowska 80</w:t>
      </w:r>
      <w:r w:rsidR="00FB2D3E" w:rsidRPr="007629AB">
        <w:rPr>
          <w:rFonts w:ascii="Century Gothic" w:hAnsi="Century Gothic" w:cs="Arial"/>
          <w:sz w:val="13"/>
          <w:szCs w:val="13"/>
        </w:rPr>
        <w:t xml:space="preserve">/82, 00-844 Warszawa, e-mail:  </w:t>
      </w:r>
      <w:r w:rsidRPr="007629AB">
        <w:rPr>
          <w:rFonts w:ascii="Century Gothic" w:hAnsi="Century Gothic" w:cs="Arial"/>
          <w:sz w:val="13"/>
          <w:szCs w:val="13"/>
        </w:rPr>
        <w:t>iod@wody.gov.pl</w:t>
      </w:r>
    </w:p>
    <w:p w14:paraId="1DC84086" w14:textId="22E7F046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3. </w:t>
      </w:r>
      <w:r w:rsidR="00BF4B8A" w:rsidRPr="003404A7">
        <w:rPr>
          <w:rFonts w:ascii="Century Gothic" w:hAnsi="Century Gothic" w:cs="Arial"/>
          <w:sz w:val="13"/>
          <w:szCs w:val="13"/>
          <w:lang w:val="en-US"/>
        </w:rPr>
        <w:t>The personal data of candidates will be processed to car</w:t>
      </w:r>
      <w:r w:rsidR="00240502">
        <w:rPr>
          <w:rFonts w:ascii="Century Gothic" w:hAnsi="Century Gothic" w:cs="Arial"/>
          <w:sz w:val="13"/>
          <w:szCs w:val="13"/>
          <w:lang w:val="en-US"/>
        </w:rPr>
        <w:t>ry out the current recruitment process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 xml:space="preserve"> based on the consent given (Art. 6(</w:t>
      </w:r>
      <w:r w:rsidRPr="003404A7">
        <w:rPr>
          <w:rFonts w:ascii="Century Gothic" w:hAnsi="Century Gothic" w:cs="Arial"/>
          <w:sz w:val="13"/>
          <w:szCs w:val="13"/>
          <w:lang w:val="en-US"/>
        </w:rPr>
        <w:t>1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)(</w:t>
      </w:r>
      <w:r w:rsidRPr="003404A7">
        <w:rPr>
          <w:rFonts w:ascii="Century Gothic" w:hAnsi="Century Gothic" w:cs="Arial"/>
          <w:sz w:val="13"/>
          <w:szCs w:val="13"/>
          <w:lang w:val="en-US"/>
        </w:rPr>
        <w:t>a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)</w:t>
      </w: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 </w:t>
      </w:r>
      <w:r w:rsidR="002567B9">
        <w:rPr>
          <w:rFonts w:ascii="Century Gothic" w:hAnsi="Century Gothic" w:cs="Arial"/>
          <w:sz w:val="13"/>
          <w:szCs w:val="13"/>
          <w:lang w:val="en-US"/>
        </w:rPr>
        <w:t>of the G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D</w:t>
      </w:r>
      <w:r w:rsidR="002567B9">
        <w:rPr>
          <w:rFonts w:ascii="Century Gothic" w:hAnsi="Century Gothic" w:cs="Arial"/>
          <w:sz w:val="13"/>
          <w:szCs w:val="13"/>
          <w:lang w:val="en-US"/>
        </w:rPr>
        <w:t>P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R</w:t>
      </w: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). 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The data su</w:t>
      </w:r>
      <w:r w:rsidR="00240502">
        <w:rPr>
          <w:rFonts w:ascii="Century Gothic" w:hAnsi="Century Gothic" w:cs="Arial"/>
          <w:sz w:val="13"/>
          <w:szCs w:val="13"/>
          <w:lang w:val="en-US"/>
        </w:rPr>
        <w:t>bject has the right to withdraw his or her consent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 xml:space="preserve"> at any time with no impact on the lawfulness of processing carried out based on </w:t>
      </w:r>
      <w:r w:rsidR="00240502">
        <w:rPr>
          <w:rFonts w:ascii="Century Gothic" w:hAnsi="Century Gothic" w:cs="Arial"/>
          <w:sz w:val="13"/>
          <w:szCs w:val="13"/>
          <w:lang w:val="en-US"/>
        </w:rPr>
        <w:t>the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 xml:space="preserve"> consent </w:t>
      </w:r>
      <w:r w:rsidR="00240502">
        <w:rPr>
          <w:rFonts w:ascii="Century Gothic" w:hAnsi="Century Gothic" w:cs="Arial"/>
          <w:sz w:val="13"/>
          <w:szCs w:val="13"/>
          <w:lang w:val="en-US"/>
        </w:rPr>
        <w:t xml:space="preserve">given 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before its withdrawal</w:t>
      </w:r>
      <w:r w:rsidRPr="003404A7">
        <w:rPr>
          <w:rFonts w:ascii="Century Gothic" w:hAnsi="Century Gothic" w:cs="Arial"/>
          <w:sz w:val="13"/>
          <w:szCs w:val="13"/>
          <w:lang w:val="en-US"/>
        </w:rPr>
        <w:t>.</w:t>
      </w:r>
    </w:p>
    <w:p w14:paraId="26600469" w14:textId="71B17A10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4. 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 xml:space="preserve">The recipient of your personal data can be an entity acting on </w:t>
      </w:r>
      <w:r w:rsidR="00E162AB">
        <w:rPr>
          <w:rFonts w:ascii="Century Gothic" w:hAnsi="Century Gothic" w:cs="Arial"/>
          <w:sz w:val="13"/>
          <w:szCs w:val="13"/>
          <w:lang w:val="en-US"/>
        </w:rPr>
        <w:t>behalf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 xml:space="preserve"> of the controller, i.e. an entity that provides IT 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 xml:space="preserve">maintenance and troubleshooting </w:t>
      </w:r>
      <w:r w:rsidR="00151BCC" w:rsidRPr="003404A7">
        <w:rPr>
          <w:rFonts w:ascii="Century Gothic" w:hAnsi="Century Gothic" w:cs="Arial"/>
          <w:sz w:val="13"/>
          <w:szCs w:val="13"/>
          <w:lang w:val="en-US"/>
        </w:rPr>
        <w:t>services</w:t>
      </w:r>
      <w:r w:rsidRPr="003404A7">
        <w:rPr>
          <w:rFonts w:ascii="Century Gothic" w:hAnsi="Century Gothic" w:cs="Arial"/>
          <w:sz w:val="13"/>
          <w:szCs w:val="13"/>
          <w:lang w:val="en-US"/>
        </w:rPr>
        <w:t>.</w:t>
      </w:r>
    </w:p>
    <w:p w14:paraId="4C95FEAB" w14:textId="618CEAC6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5. 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>Data collected during the recruitment process will be stored until December 15, 2023</w:t>
      </w:r>
      <w:r w:rsidRPr="003404A7">
        <w:rPr>
          <w:rFonts w:ascii="Century Gothic" w:hAnsi="Century Gothic" w:cs="Arial"/>
          <w:sz w:val="13"/>
          <w:szCs w:val="13"/>
          <w:lang w:val="en-US"/>
        </w:rPr>
        <w:t>.</w:t>
      </w:r>
    </w:p>
    <w:p w14:paraId="3157CDC0" w14:textId="21F4AB0A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6. 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>The data subject has the right to access his or her personal data and have them rectified or erased. Submission of a request to</w:t>
      </w: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 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 xml:space="preserve">erase </w:t>
      </w:r>
      <w:r w:rsidR="00240502">
        <w:rPr>
          <w:rFonts w:ascii="Century Gothic" w:hAnsi="Century Gothic" w:cs="Arial"/>
          <w:sz w:val="13"/>
          <w:szCs w:val="13"/>
          <w:lang w:val="en-US"/>
        </w:rPr>
        <w:t>your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 xml:space="preserve"> data is tantamount to resignation from the participation in the recruitment process c</w:t>
      </w:r>
      <w:r w:rsidR="00251C7E" w:rsidRPr="003404A7">
        <w:rPr>
          <w:rFonts w:ascii="Century Gothic" w:hAnsi="Century Gothic" w:cs="Arial"/>
          <w:sz w:val="13"/>
          <w:szCs w:val="13"/>
          <w:lang w:val="en-US"/>
        </w:rPr>
        <w:t>onducted by Polish Waters. More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>over, the data subject has the right to demand restriction of processing in cases specified in A</w:t>
      </w: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rt. 18 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>of the GDPR</w:t>
      </w:r>
      <w:r w:rsidRPr="003404A7">
        <w:rPr>
          <w:rFonts w:ascii="Century Gothic" w:hAnsi="Century Gothic" w:cs="Arial"/>
          <w:sz w:val="13"/>
          <w:szCs w:val="13"/>
          <w:lang w:val="en-US"/>
        </w:rPr>
        <w:t>.</w:t>
      </w:r>
    </w:p>
    <w:p w14:paraId="107CFA3F" w14:textId="1961B7A0" w:rsidR="005C0F9B" w:rsidRPr="003404A7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7. 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 xml:space="preserve">The data subject has the right to lodge a complaint </w:t>
      </w:r>
      <w:r w:rsidR="00240502">
        <w:rPr>
          <w:rFonts w:ascii="Century Gothic" w:hAnsi="Century Gothic" w:cs="Arial"/>
          <w:sz w:val="13"/>
          <w:szCs w:val="13"/>
          <w:lang w:val="en-US"/>
        </w:rPr>
        <w:t>with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 xml:space="preserve"> the President of the Data Protection Office against unlawful processing of his or her personal data</w:t>
      </w:r>
      <w:r w:rsidRPr="003404A7">
        <w:rPr>
          <w:rFonts w:ascii="Century Gothic" w:hAnsi="Century Gothic" w:cs="Arial"/>
          <w:sz w:val="13"/>
          <w:szCs w:val="13"/>
          <w:lang w:val="en-US"/>
        </w:rPr>
        <w:t>.</w:t>
      </w:r>
      <w:r w:rsidR="009C038B" w:rsidRPr="003404A7">
        <w:rPr>
          <w:rFonts w:ascii="Century Gothic" w:hAnsi="Century Gothic" w:cs="Arial"/>
          <w:sz w:val="13"/>
          <w:szCs w:val="13"/>
          <w:lang w:val="en-US"/>
        </w:rPr>
        <w:t xml:space="preserve"> If any other supervisory authority is established in the future</w:t>
      </w:r>
      <w:r w:rsidR="00251C7E" w:rsidRPr="003404A7">
        <w:rPr>
          <w:rFonts w:ascii="Century Gothic" w:hAnsi="Century Gothic" w:cs="Arial"/>
          <w:sz w:val="13"/>
          <w:szCs w:val="13"/>
          <w:lang w:val="en-US"/>
        </w:rPr>
        <w:t>, this authority will be competent to consider a complaint, but the right to lodge a complaint relates solely to the lawfulness of the processing of personal data and does not relate to the recruitment process itself.</w:t>
      </w:r>
    </w:p>
    <w:p w14:paraId="2598FEE8" w14:textId="1D0E708D" w:rsidR="005C0F9B" w:rsidRPr="003404A7" w:rsidRDefault="005C0F9B" w:rsidP="005C0F9B">
      <w:pPr>
        <w:spacing w:after="0"/>
        <w:jc w:val="both"/>
        <w:rPr>
          <w:sz w:val="13"/>
          <w:szCs w:val="13"/>
          <w:lang w:val="en-US"/>
        </w:rPr>
      </w:pPr>
      <w:r w:rsidRPr="003404A7">
        <w:rPr>
          <w:rFonts w:ascii="Century Gothic" w:hAnsi="Century Gothic" w:cs="Arial"/>
          <w:sz w:val="13"/>
          <w:szCs w:val="13"/>
          <w:lang w:val="en-US"/>
        </w:rPr>
        <w:t xml:space="preserve">8. </w:t>
      </w:r>
      <w:r w:rsidR="00251C7E" w:rsidRPr="003404A7">
        <w:rPr>
          <w:rFonts w:ascii="Century Gothic" w:hAnsi="Century Gothic" w:cs="Arial"/>
          <w:sz w:val="13"/>
          <w:szCs w:val="13"/>
          <w:lang w:val="en-US"/>
        </w:rPr>
        <w:t xml:space="preserve">Providing data </w:t>
      </w:r>
      <w:r w:rsidR="00E162AB">
        <w:rPr>
          <w:rFonts w:ascii="Century Gothic" w:hAnsi="Century Gothic" w:cs="Arial"/>
          <w:sz w:val="13"/>
          <w:szCs w:val="13"/>
          <w:lang w:val="en-US"/>
        </w:rPr>
        <w:t>contained</w:t>
      </w:r>
      <w:r w:rsidR="00251C7E" w:rsidRPr="003404A7">
        <w:rPr>
          <w:rFonts w:ascii="Century Gothic" w:hAnsi="Century Gothic" w:cs="Arial"/>
          <w:sz w:val="13"/>
          <w:szCs w:val="13"/>
          <w:lang w:val="en-US"/>
        </w:rPr>
        <w:t xml:space="preserve"> in recruitment documents is not mandatory, but it is a condition </w:t>
      </w:r>
      <w:r w:rsidR="002567B9">
        <w:rPr>
          <w:rFonts w:ascii="Century Gothic" w:hAnsi="Century Gothic" w:cs="Arial"/>
          <w:sz w:val="13"/>
          <w:szCs w:val="13"/>
          <w:lang w:val="en-US"/>
        </w:rPr>
        <w:t>that allows</w:t>
      </w:r>
      <w:r w:rsidR="00251C7E" w:rsidRPr="003404A7">
        <w:rPr>
          <w:rFonts w:ascii="Century Gothic" w:hAnsi="Century Gothic" w:cs="Arial"/>
          <w:sz w:val="13"/>
          <w:szCs w:val="13"/>
          <w:lang w:val="en-US"/>
        </w:rPr>
        <w:t xml:space="preserve"> a candidate to apply for a job at Polish Waters</w:t>
      </w:r>
      <w:r w:rsidRPr="003404A7">
        <w:rPr>
          <w:rFonts w:ascii="Century Gothic" w:hAnsi="Century Gothic" w:cs="Arial"/>
          <w:sz w:val="13"/>
          <w:szCs w:val="13"/>
          <w:lang w:val="en-US"/>
        </w:rPr>
        <w:t>.</w:t>
      </w:r>
    </w:p>
    <w:p w14:paraId="3DFD59F4" w14:textId="798B8DA3" w:rsidR="00191A1B" w:rsidRPr="003404A7" w:rsidRDefault="00191A1B" w:rsidP="005C0F9B">
      <w:pPr>
        <w:spacing w:after="0"/>
        <w:jc w:val="both"/>
        <w:rPr>
          <w:sz w:val="13"/>
          <w:szCs w:val="13"/>
          <w:lang w:val="en-US"/>
        </w:rPr>
      </w:pPr>
    </w:p>
    <w:sectPr w:rsidR="00191A1B" w:rsidRPr="003404A7" w:rsidSect="00803952">
      <w:pgSz w:w="11906" w:h="16838"/>
      <w:pgMar w:top="720" w:right="720" w:bottom="720" w:left="720" w:header="709" w:footer="709" w:gutter="0"/>
      <w:pgBorders w:offsetFrom="page">
        <w:top w:val="double" w:sz="2" w:space="24" w:color="4472C4" w:themeColor="accent1"/>
        <w:left w:val="double" w:sz="2" w:space="24" w:color="4472C4" w:themeColor="accent1"/>
        <w:bottom w:val="double" w:sz="2" w:space="24" w:color="4472C4" w:themeColor="accent1"/>
        <w:right w:val="double" w:sz="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8BD"/>
    <w:multiLevelType w:val="multilevel"/>
    <w:tmpl w:val="0D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7D59"/>
    <w:multiLevelType w:val="hybridMultilevel"/>
    <w:tmpl w:val="0CB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EA8"/>
    <w:multiLevelType w:val="multilevel"/>
    <w:tmpl w:val="512C5B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5E14609"/>
    <w:multiLevelType w:val="hybridMultilevel"/>
    <w:tmpl w:val="2EC4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48A6"/>
    <w:multiLevelType w:val="multilevel"/>
    <w:tmpl w:val="7D9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E5818"/>
    <w:multiLevelType w:val="hybridMultilevel"/>
    <w:tmpl w:val="A34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53D2"/>
    <w:multiLevelType w:val="hybridMultilevel"/>
    <w:tmpl w:val="9E7C95FC"/>
    <w:lvl w:ilvl="0" w:tplc="6B54FB20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84CF2"/>
    <w:multiLevelType w:val="hybridMultilevel"/>
    <w:tmpl w:val="4B5EC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21FC1"/>
    <w:multiLevelType w:val="hybridMultilevel"/>
    <w:tmpl w:val="C392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6AD3"/>
    <w:multiLevelType w:val="hybridMultilevel"/>
    <w:tmpl w:val="F1EC91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F67199"/>
    <w:multiLevelType w:val="hybridMultilevel"/>
    <w:tmpl w:val="A94E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3E66"/>
    <w:multiLevelType w:val="multilevel"/>
    <w:tmpl w:val="38A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A7FC2"/>
    <w:multiLevelType w:val="hybridMultilevel"/>
    <w:tmpl w:val="091E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ADF"/>
    <w:multiLevelType w:val="hybridMultilevel"/>
    <w:tmpl w:val="76062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B0FFA"/>
    <w:multiLevelType w:val="hybridMultilevel"/>
    <w:tmpl w:val="44C48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97D3F"/>
    <w:multiLevelType w:val="multilevel"/>
    <w:tmpl w:val="384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C2430"/>
    <w:multiLevelType w:val="multilevel"/>
    <w:tmpl w:val="38AC8A3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3B0B2F"/>
    <w:multiLevelType w:val="hybridMultilevel"/>
    <w:tmpl w:val="52C0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862B9"/>
    <w:multiLevelType w:val="hybridMultilevel"/>
    <w:tmpl w:val="1BA6286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A54F6"/>
    <w:multiLevelType w:val="multilevel"/>
    <w:tmpl w:val="39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03A30"/>
    <w:multiLevelType w:val="hybridMultilevel"/>
    <w:tmpl w:val="00B8FE7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C2316E"/>
    <w:multiLevelType w:val="hybridMultilevel"/>
    <w:tmpl w:val="FAC4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634"/>
    <w:multiLevelType w:val="hybridMultilevel"/>
    <w:tmpl w:val="67D2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D0A9B"/>
    <w:multiLevelType w:val="multilevel"/>
    <w:tmpl w:val="FB6881D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EF389C"/>
    <w:multiLevelType w:val="hybridMultilevel"/>
    <w:tmpl w:val="E3409A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B43352"/>
    <w:multiLevelType w:val="hybridMultilevel"/>
    <w:tmpl w:val="1DB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132"/>
    <w:multiLevelType w:val="hybridMultilevel"/>
    <w:tmpl w:val="DAE0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F25E1"/>
    <w:multiLevelType w:val="hybridMultilevel"/>
    <w:tmpl w:val="D5BAB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F2136E"/>
    <w:multiLevelType w:val="hybridMultilevel"/>
    <w:tmpl w:val="4A7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224E5"/>
    <w:multiLevelType w:val="multilevel"/>
    <w:tmpl w:val="419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383E57"/>
    <w:multiLevelType w:val="multilevel"/>
    <w:tmpl w:val="922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12335E"/>
    <w:multiLevelType w:val="hybridMultilevel"/>
    <w:tmpl w:val="7768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CC0"/>
    <w:multiLevelType w:val="hybridMultilevel"/>
    <w:tmpl w:val="A54CD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306C27"/>
    <w:multiLevelType w:val="hybridMultilevel"/>
    <w:tmpl w:val="D814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56D"/>
    <w:multiLevelType w:val="hybridMultilevel"/>
    <w:tmpl w:val="5A28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B0B69"/>
    <w:multiLevelType w:val="hybridMultilevel"/>
    <w:tmpl w:val="65E2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0612A"/>
    <w:multiLevelType w:val="hybridMultilevel"/>
    <w:tmpl w:val="34F86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132CCB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B00C7A"/>
    <w:multiLevelType w:val="hybridMultilevel"/>
    <w:tmpl w:val="A1B8A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5119FB"/>
    <w:multiLevelType w:val="hybridMultilevel"/>
    <w:tmpl w:val="26BEC1AE"/>
    <w:lvl w:ilvl="0" w:tplc="B1AA5BF6">
      <w:start w:val="1"/>
      <w:numFmt w:val="decimal"/>
      <w:lvlText w:val="%1."/>
      <w:lvlJc w:val="left"/>
      <w:pPr>
        <w:ind w:left="578" w:hanging="360"/>
      </w:pPr>
      <w:rPr>
        <w:rFonts w:ascii="Century Gothic" w:eastAsiaTheme="minorHAnsi" w:hAnsi="Century Gothic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0BA51FB"/>
    <w:multiLevelType w:val="multilevel"/>
    <w:tmpl w:val="9502F4F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3030D3D"/>
    <w:multiLevelType w:val="hybridMultilevel"/>
    <w:tmpl w:val="32C8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97B1F"/>
    <w:multiLevelType w:val="hybridMultilevel"/>
    <w:tmpl w:val="5B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B7A4D"/>
    <w:multiLevelType w:val="hybridMultilevel"/>
    <w:tmpl w:val="41F4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A229D"/>
    <w:multiLevelType w:val="hybridMultilevel"/>
    <w:tmpl w:val="0EB8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C07B7"/>
    <w:multiLevelType w:val="hybridMultilevel"/>
    <w:tmpl w:val="AEEE968A"/>
    <w:lvl w:ilvl="0" w:tplc="B946653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17871"/>
    <w:multiLevelType w:val="hybridMultilevel"/>
    <w:tmpl w:val="D54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C5CB7"/>
    <w:multiLevelType w:val="hybridMultilevel"/>
    <w:tmpl w:val="D1AA0110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6"/>
  </w:num>
  <w:num w:numId="4">
    <w:abstractNumId w:val="22"/>
  </w:num>
  <w:num w:numId="5">
    <w:abstractNumId w:val="44"/>
  </w:num>
  <w:num w:numId="6">
    <w:abstractNumId w:val="38"/>
  </w:num>
  <w:num w:numId="7">
    <w:abstractNumId w:val="3"/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</w:num>
  <w:num w:numId="10">
    <w:abstractNumId w:val="15"/>
  </w:num>
  <w:num w:numId="11">
    <w:abstractNumId w:val="28"/>
  </w:num>
  <w:num w:numId="12">
    <w:abstractNumId w:val="33"/>
  </w:num>
  <w:num w:numId="13">
    <w:abstractNumId w:val="8"/>
  </w:num>
  <w:num w:numId="14">
    <w:abstractNumId w:val="0"/>
  </w:num>
  <w:num w:numId="15">
    <w:abstractNumId w:val="30"/>
  </w:num>
  <w:num w:numId="16">
    <w:abstractNumId w:val="4"/>
  </w:num>
  <w:num w:numId="17">
    <w:abstractNumId w:val="5"/>
  </w:num>
  <w:num w:numId="18">
    <w:abstractNumId w:val="27"/>
  </w:num>
  <w:num w:numId="19">
    <w:abstractNumId w:val="41"/>
  </w:num>
  <w:num w:numId="20">
    <w:abstractNumId w:val="1"/>
  </w:num>
  <w:num w:numId="21">
    <w:abstractNumId w:val="21"/>
  </w:num>
  <w:num w:numId="22">
    <w:abstractNumId w:val="34"/>
  </w:num>
  <w:num w:numId="23">
    <w:abstractNumId w:val="35"/>
  </w:num>
  <w:num w:numId="24">
    <w:abstractNumId w:val="14"/>
  </w:num>
  <w:num w:numId="25">
    <w:abstractNumId w:val="13"/>
  </w:num>
  <w:num w:numId="26">
    <w:abstractNumId w:val="37"/>
  </w:num>
  <w:num w:numId="27">
    <w:abstractNumId w:val="6"/>
  </w:num>
  <w:num w:numId="28">
    <w:abstractNumId w:val="29"/>
  </w:num>
  <w:num w:numId="29">
    <w:abstractNumId w:val="19"/>
  </w:num>
  <w:num w:numId="30">
    <w:abstractNumId w:val="36"/>
  </w:num>
  <w:num w:numId="31">
    <w:abstractNumId w:val="45"/>
  </w:num>
  <w:num w:numId="32">
    <w:abstractNumId w:val="31"/>
  </w:num>
  <w:num w:numId="33">
    <w:abstractNumId w:val="32"/>
  </w:num>
  <w:num w:numId="34">
    <w:abstractNumId w:val="10"/>
  </w:num>
  <w:num w:numId="35">
    <w:abstractNumId w:val="42"/>
  </w:num>
  <w:num w:numId="36">
    <w:abstractNumId w:val="26"/>
  </w:num>
  <w:num w:numId="37">
    <w:abstractNumId w:val="40"/>
  </w:num>
  <w:num w:numId="38">
    <w:abstractNumId w:val="7"/>
  </w:num>
  <w:num w:numId="39">
    <w:abstractNumId w:val="25"/>
  </w:num>
  <w:num w:numId="40">
    <w:abstractNumId w:val="9"/>
  </w:num>
  <w:num w:numId="41">
    <w:abstractNumId w:val="20"/>
  </w:num>
  <w:num w:numId="42">
    <w:abstractNumId w:val="24"/>
  </w:num>
  <w:num w:numId="43">
    <w:abstractNumId w:val="18"/>
  </w:num>
  <w:num w:numId="44">
    <w:abstractNumId w:val="17"/>
  </w:num>
  <w:num w:numId="45">
    <w:abstractNumId w:val="23"/>
  </w:num>
  <w:num w:numId="46">
    <w:abstractNumId w:val="3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06D41"/>
    <w:rsid w:val="00035BF6"/>
    <w:rsid w:val="0003654D"/>
    <w:rsid w:val="000676A5"/>
    <w:rsid w:val="00071B73"/>
    <w:rsid w:val="00072581"/>
    <w:rsid w:val="000B6833"/>
    <w:rsid w:val="00151BCC"/>
    <w:rsid w:val="00185BF7"/>
    <w:rsid w:val="00191A1B"/>
    <w:rsid w:val="00195B3D"/>
    <w:rsid w:val="001C7FAE"/>
    <w:rsid w:val="001E2076"/>
    <w:rsid w:val="00240502"/>
    <w:rsid w:val="0024236C"/>
    <w:rsid w:val="00251C7E"/>
    <w:rsid w:val="002567B9"/>
    <w:rsid w:val="00296877"/>
    <w:rsid w:val="002B1AEB"/>
    <w:rsid w:val="002C3630"/>
    <w:rsid w:val="002E31D2"/>
    <w:rsid w:val="00316224"/>
    <w:rsid w:val="00321B1D"/>
    <w:rsid w:val="003404A7"/>
    <w:rsid w:val="00344282"/>
    <w:rsid w:val="00350C01"/>
    <w:rsid w:val="003726EF"/>
    <w:rsid w:val="003B6C16"/>
    <w:rsid w:val="003E7C69"/>
    <w:rsid w:val="00401ACF"/>
    <w:rsid w:val="004022B2"/>
    <w:rsid w:val="004858DB"/>
    <w:rsid w:val="004A1701"/>
    <w:rsid w:val="004D4E02"/>
    <w:rsid w:val="005063E3"/>
    <w:rsid w:val="005404E0"/>
    <w:rsid w:val="00540DF4"/>
    <w:rsid w:val="00553490"/>
    <w:rsid w:val="00564CEF"/>
    <w:rsid w:val="005725F1"/>
    <w:rsid w:val="0057491D"/>
    <w:rsid w:val="00582F2E"/>
    <w:rsid w:val="005A7389"/>
    <w:rsid w:val="005B547D"/>
    <w:rsid w:val="005C0F9B"/>
    <w:rsid w:val="005D30E5"/>
    <w:rsid w:val="00640C11"/>
    <w:rsid w:val="00640EFC"/>
    <w:rsid w:val="00657D65"/>
    <w:rsid w:val="00673812"/>
    <w:rsid w:val="00682E95"/>
    <w:rsid w:val="00690713"/>
    <w:rsid w:val="0069085A"/>
    <w:rsid w:val="00691DE3"/>
    <w:rsid w:val="006A6CC3"/>
    <w:rsid w:val="006B25E4"/>
    <w:rsid w:val="006E1A7C"/>
    <w:rsid w:val="00703E07"/>
    <w:rsid w:val="0072271A"/>
    <w:rsid w:val="007629AB"/>
    <w:rsid w:val="0078364C"/>
    <w:rsid w:val="007B0130"/>
    <w:rsid w:val="007C397D"/>
    <w:rsid w:val="007E55F7"/>
    <w:rsid w:val="008046D5"/>
    <w:rsid w:val="00807B8A"/>
    <w:rsid w:val="0084594A"/>
    <w:rsid w:val="0086293B"/>
    <w:rsid w:val="00865C79"/>
    <w:rsid w:val="008926B0"/>
    <w:rsid w:val="008966E6"/>
    <w:rsid w:val="008A2D10"/>
    <w:rsid w:val="008A50AA"/>
    <w:rsid w:val="008D1AD0"/>
    <w:rsid w:val="009557C4"/>
    <w:rsid w:val="0096334C"/>
    <w:rsid w:val="009B3144"/>
    <w:rsid w:val="009C038B"/>
    <w:rsid w:val="009C5D4C"/>
    <w:rsid w:val="009E5334"/>
    <w:rsid w:val="009F4F12"/>
    <w:rsid w:val="009F6EDB"/>
    <w:rsid w:val="00A509E2"/>
    <w:rsid w:val="00A60CB3"/>
    <w:rsid w:val="00A709E6"/>
    <w:rsid w:val="00AA4AE8"/>
    <w:rsid w:val="00AB68BD"/>
    <w:rsid w:val="00AC18DE"/>
    <w:rsid w:val="00B70556"/>
    <w:rsid w:val="00B934BB"/>
    <w:rsid w:val="00B975ED"/>
    <w:rsid w:val="00BB7ED9"/>
    <w:rsid w:val="00BE506B"/>
    <w:rsid w:val="00BF4B8A"/>
    <w:rsid w:val="00C21C13"/>
    <w:rsid w:val="00C245DD"/>
    <w:rsid w:val="00C535F0"/>
    <w:rsid w:val="00C61021"/>
    <w:rsid w:val="00C670B5"/>
    <w:rsid w:val="00C7484A"/>
    <w:rsid w:val="00C75950"/>
    <w:rsid w:val="00C8617F"/>
    <w:rsid w:val="00C90F75"/>
    <w:rsid w:val="00C941D4"/>
    <w:rsid w:val="00CA6BF3"/>
    <w:rsid w:val="00CF476D"/>
    <w:rsid w:val="00D010F1"/>
    <w:rsid w:val="00D07022"/>
    <w:rsid w:val="00D23293"/>
    <w:rsid w:val="00D547AC"/>
    <w:rsid w:val="00DF3439"/>
    <w:rsid w:val="00E1139B"/>
    <w:rsid w:val="00E162AB"/>
    <w:rsid w:val="00E26236"/>
    <w:rsid w:val="00E35A98"/>
    <w:rsid w:val="00E45B70"/>
    <w:rsid w:val="00E566C0"/>
    <w:rsid w:val="00E637E3"/>
    <w:rsid w:val="00ED4CF6"/>
    <w:rsid w:val="00EF4CBB"/>
    <w:rsid w:val="00EF5966"/>
    <w:rsid w:val="00F603ED"/>
    <w:rsid w:val="00F621B9"/>
    <w:rsid w:val="00F83F80"/>
    <w:rsid w:val="00F946B7"/>
    <w:rsid w:val="00FB2D3E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4CD"/>
  <w15:docId w15:val="{7C48E3BB-3FC2-4CE9-8863-19CB630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D6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68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833"/>
    <w:rPr>
      <w:rFonts w:ascii="Calibri" w:hAnsi="Calibri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3490"/>
  </w:style>
  <w:style w:type="character" w:customStyle="1" w:styleId="WW8Num3z0">
    <w:name w:val="WW8Num3z0"/>
    <w:rsid w:val="00BB7ED9"/>
    <w:rPr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wysocka@wody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Jesionek</dc:creator>
  <cp:lastModifiedBy>Małgorzata Wysocka (KZGW)</cp:lastModifiedBy>
  <cp:revision>2</cp:revision>
  <cp:lastPrinted>2019-07-23T07:39:00Z</cp:lastPrinted>
  <dcterms:created xsi:type="dcterms:W3CDTF">2020-08-24T10:43:00Z</dcterms:created>
  <dcterms:modified xsi:type="dcterms:W3CDTF">2020-08-24T10:43:00Z</dcterms:modified>
</cp:coreProperties>
</file>